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5DEE" w:rsidRPr="001A40E2" w:rsidRDefault="005B3132" w:rsidP="00435DEE">
      <w:pPr>
        <w:spacing w:after="180"/>
        <w:rPr>
          <w:b/>
          <w:sz w:val="44"/>
          <w:szCs w:val="44"/>
        </w:rPr>
      </w:pPr>
      <w:bookmarkStart w:id="0" w:name="_Hlk94788348"/>
      <w:bookmarkEnd w:id="0"/>
      <w:r w:rsidRPr="005B3132">
        <w:rPr>
          <w:b/>
          <w:sz w:val="44"/>
          <w:szCs w:val="44"/>
        </w:rPr>
        <w:t>Half-life of clay dice</w:t>
      </w:r>
    </w:p>
    <w:p w:rsidR="00435DEE" w:rsidRDefault="00435DEE" w:rsidP="00435DEE">
      <w:pPr>
        <w:spacing w:after="180"/>
      </w:pPr>
    </w:p>
    <w:p w:rsidR="005B3132" w:rsidRDefault="005B3132" w:rsidP="005B3132">
      <w:pPr>
        <w:spacing w:after="180"/>
      </w:pPr>
      <w:r>
        <w:t>To model the random nature of half-life</w:t>
      </w:r>
      <w:r w:rsidR="00371AAE">
        <w:t>,</w:t>
      </w:r>
      <w:r>
        <w:t xml:space="preserve"> dice made out of modelling clay are thrown in the air.</w:t>
      </w:r>
      <w:r w:rsidR="008433C4">
        <w:t xml:space="preserve"> </w:t>
      </w:r>
      <w:r>
        <w:t>Those that land showing a dot on the top face decay (and are rolled into balls) the others do not.</w:t>
      </w:r>
      <w:r w:rsidR="008433C4">
        <w:t xml:space="preserve"> </w:t>
      </w:r>
      <w:r>
        <w:t>The total number of clay dice remaining after each throw measures the amount of the radioactive element that has not decayed.</w:t>
      </w:r>
      <w:r w:rsidR="008433C4">
        <w:t xml:space="preserve"> </w:t>
      </w:r>
      <w:r>
        <w:t>This is proportional to the level of radiation emitted by the source.</w:t>
      </w:r>
      <w:r w:rsidR="008433C4">
        <w:t xml:space="preserve"> </w:t>
      </w:r>
    </w:p>
    <w:p w:rsidR="00881314" w:rsidRPr="00881314" w:rsidRDefault="00881314" w:rsidP="00881314">
      <w:pPr>
        <w:spacing w:after="120"/>
        <w:ind w:left="426" w:hanging="426"/>
        <w:rPr>
          <w:rFonts w:cstheme="minorHAnsi"/>
        </w:rPr>
      </w:pPr>
      <w:r w:rsidRPr="00881314">
        <w:rPr>
          <w:rFonts w:cstheme="minorHAnsi"/>
          <w:b/>
        </w:rPr>
        <w:t>N.B.</w:t>
      </w:r>
      <w:r>
        <w:rPr>
          <w:rFonts w:cstheme="minorHAnsi"/>
        </w:rPr>
        <w:tab/>
      </w:r>
      <w:r w:rsidRPr="00881314">
        <w:rPr>
          <w:rFonts w:cstheme="minorHAnsi"/>
        </w:rPr>
        <w:t>Rolling the dice into balls shows that the radioactive atoms have changed into other types of atoms and have not disappeared (which is a common misunderstanding). When thrown, the balls neve</w:t>
      </w:r>
      <w:r w:rsidR="007F24B2">
        <w:rPr>
          <w:rFonts w:cstheme="minorHAnsi"/>
        </w:rPr>
        <w:t>r land with a dot on a top face.</w:t>
      </w:r>
    </w:p>
    <w:p w:rsidR="00435DEE" w:rsidRDefault="005B3132" w:rsidP="005B3132">
      <w:pPr>
        <w:spacing w:after="180"/>
      </w:pPr>
      <w:r>
        <w:t>Repeating the same experiment with dice that have fewer or greater sides with dots, or different shaped dice, gives a different decay rate that is specific to the ‘radioactive isotope’ used.</w:t>
      </w:r>
    </w:p>
    <w:p w:rsidR="00435DEE" w:rsidRPr="005B3132" w:rsidRDefault="00435DEE" w:rsidP="005B3132">
      <w:pPr>
        <w:spacing w:after="180"/>
        <w:rPr>
          <w:b/>
        </w:rPr>
      </w:pPr>
      <w:r w:rsidRPr="005B3132">
        <w:rPr>
          <w:b/>
        </w:rPr>
        <w:t>Apparatus and materials</w:t>
      </w:r>
    </w:p>
    <w:p w:rsidR="00435DEE" w:rsidRPr="005B3132" w:rsidRDefault="005B3132" w:rsidP="005B3132">
      <w:pPr>
        <w:pStyle w:val="ListParagraph"/>
        <w:numPr>
          <w:ilvl w:val="0"/>
          <w:numId w:val="1"/>
        </w:numPr>
        <w:spacing w:after="180"/>
      </w:pPr>
      <w:r w:rsidRPr="005B3132">
        <w:t>Plasticine or similar modelling clay – enough for each student to make ten dice.</w:t>
      </w:r>
    </w:p>
    <w:p w:rsidR="00435DEE" w:rsidRPr="005B3132" w:rsidRDefault="00435DEE" w:rsidP="005B3132">
      <w:pPr>
        <w:spacing w:after="180"/>
        <w:rPr>
          <w:b/>
        </w:rPr>
      </w:pPr>
      <w:r w:rsidRPr="005B3132">
        <w:rPr>
          <w:b/>
        </w:rPr>
        <w:t>Procedure</w:t>
      </w:r>
    </w:p>
    <w:p w:rsidR="005B3132" w:rsidRPr="005B3132" w:rsidRDefault="005B3132" w:rsidP="005B3132">
      <w:pPr>
        <w:numPr>
          <w:ilvl w:val="0"/>
          <w:numId w:val="5"/>
        </w:numPr>
        <w:spacing w:after="20"/>
        <w:ind w:left="714" w:hanging="357"/>
        <w:rPr>
          <w:rFonts w:cstheme="minorHAnsi"/>
        </w:rPr>
      </w:pPr>
      <w:r w:rsidRPr="005B3132">
        <w:rPr>
          <w:rFonts w:cstheme="minorHAnsi"/>
        </w:rPr>
        <w:t xml:space="preserve">Each student makes ten dice out of modelling clay (e.g. Plasticine) and on two faces they make a small dot with the end of a pencil. </w:t>
      </w:r>
    </w:p>
    <w:p w:rsidR="005B3132" w:rsidRPr="005B3132" w:rsidRDefault="005B3132" w:rsidP="005B3132">
      <w:pPr>
        <w:spacing w:after="120"/>
        <w:ind w:left="720"/>
        <w:rPr>
          <w:rFonts w:cstheme="minorHAnsi"/>
        </w:rPr>
      </w:pPr>
      <w:r w:rsidRPr="005B3132">
        <w:rPr>
          <w:rFonts w:cstheme="minorHAnsi"/>
        </w:rPr>
        <w:t>If you want to include background radiation in the count, then have about 20 similar dice of your own.</w:t>
      </w:r>
    </w:p>
    <w:p w:rsidR="005B3132" w:rsidRPr="005B3132" w:rsidRDefault="005B3132" w:rsidP="005B3132">
      <w:pPr>
        <w:numPr>
          <w:ilvl w:val="0"/>
          <w:numId w:val="5"/>
        </w:numPr>
        <w:spacing w:after="120"/>
        <w:rPr>
          <w:rFonts w:cstheme="minorHAnsi"/>
        </w:rPr>
      </w:pPr>
      <w:r w:rsidRPr="005B3132">
        <w:rPr>
          <w:rFonts w:cstheme="minorHAnsi"/>
        </w:rPr>
        <w:t>Record the total number of dice (after zero throws) on the board.</w:t>
      </w:r>
    </w:p>
    <w:p w:rsidR="005B3132" w:rsidRPr="005B3132" w:rsidRDefault="005B3132" w:rsidP="005B3132">
      <w:pPr>
        <w:numPr>
          <w:ilvl w:val="0"/>
          <w:numId w:val="5"/>
        </w:numPr>
        <w:spacing w:after="20"/>
        <w:ind w:left="714" w:hanging="357"/>
        <w:rPr>
          <w:rFonts w:cstheme="minorHAnsi"/>
        </w:rPr>
      </w:pPr>
      <w:r w:rsidRPr="005B3132">
        <w:rPr>
          <w:rFonts w:cstheme="minorHAnsi"/>
        </w:rPr>
        <w:t xml:space="preserve">The students all toss their dice and </w:t>
      </w:r>
      <w:r w:rsidR="00881314">
        <w:rPr>
          <w:rFonts w:cstheme="minorHAnsi"/>
        </w:rPr>
        <w:t xml:space="preserve">then </w:t>
      </w:r>
      <w:r w:rsidRPr="005B3132">
        <w:rPr>
          <w:rFonts w:cstheme="minorHAnsi"/>
        </w:rPr>
        <w:t xml:space="preserve">roll into a ball </w:t>
      </w:r>
      <w:r w:rsidR="00881314">
        <w:rPr>
          <w:rFonts w:cstheme="minorHAnsi"/>
        </w:rPr>
        <w:t>each one</w:t>
      </w:r>
      <w:r w:rsidRPr="005B3132">
        <w:rPr>
          <w:rFonts w:cstheme="minorHAnsi"/>
        </w:rPr>
        <w:t xml:space="preserve"> that land</w:t>
      </w:r>
      <w:r w:rsidR="00881314">
        <w:rPr>
          <w:rFonts w:cstheme="minorHAnsi"/>
        </w:rPr>
        <w:t>s</w:t>
      </w:r>
      <w:r w:rsidRPr="005B3132">
        <w:rPr>
          <w:rFonts w:cstheme="minorHAnsi"/>
        </w:rPr>
        <w:t xml:space="preserve"> with a dot on </w:t>
      </w:r>
      <w:r w:rsidR="00881314">
        <w:rPr>
          <w:rFonts w:cstheme="minorHAnsi"/>
        </w:rPr>
        <w:t>its</w:t>
      </w:r>
      <w:r w:rsidRPr="005B3132">
        <w:rPr>
          <w:rFonts w:cstheme="minorHAnsi"/>
        </w:rPr>
        <w:t xml:space="preserve"> top face.</w:t>
      </w:r>
    </w:p>
    <w:p w:rsidR="005B3132" w:rsidRDefault="005B3132" w:rsidP="005B3132">
      <w:pPr>
        <w:spacing w:after="120"/>
        <w:ind w:left="720"/>
        <w:rPr>
          <w:rFonts w:cstheme="minorHAnsi"/>
        </w:rPr>
      </w:pPr>
      <w:r w:rsidRPr="005B3132">
        <w:rPr>
          <w:rFonts w:cstheme="minorHAnsi"/>
        </w:rPr>
        <w:t>Toss your dice as well but do not roll any into a ball.</w:t>
      </w:r>
    </w:p>
    <w:p w:rsidR="005B3132" w:rsidRPr="005B3132" w:rsidRDefault="005B3132" w:rsidP="005B3132">
      <w:pPr>
        <w:numPr>
          <w:ilvl w:val="0"/>
          <w:numId w:val="5"/>
        </w:numPr>
        <w:spacing w:after="20"/>
        <w:ind w:left="714" w:hanging="357"/>
        <w:rPr>
          <w:rFonts w:cstheme="minorHAnsi"/>
        </w:rPr>
      </w:pPr>
      <w:r w:rsidRPr="005B3132">
        <w:rPr>
          <w:rFonts w:cstheme="minorHAnsi"/>
        </w:rPr>
        <w:t xml:space="preserve">Count up all the dice that </w:t>
      </w:r>
      <w:r w:rsidR="00163072">
        <w:rPr>
          <w:rFonts w:cstheme="minorHAnsi"/>
        </w:rPr>
        <w:t>are</w:t>
      </w:r>
      <w:r w:rsidRPr="005B3132">
        <w:rPr>
          <w:rFonts w:cstheme="minorHAnsi"/>
        </w:rPr>
        <w:t xml:space="preserve"> remaining.</w:t>
      </w:r>
      <w:r w:rsidR="008433C4">
        <w:rPr>
          <w:rFonts w:cstheme="minorHAnsi"/>
        </w:rPr>
        <w:t xml:space="preserve"> </w:t>
      </w:r>
      <w:r w:rsidRPr="005B3132">
        <w:rPr>
          <w:rFonts w:cstheme="minorHAnsi"/>
        </w:rPr>
        <w:t>The easiest way is to have a show of hands for those with 10 left, 9, 8, and so on.</w:t>
      </w:r>
      <w:r w:rsidR="008433C4">
        <w:rPr>
          <w:rFonts w:cstheme="minorHAnsi"/>
        </w:rPr>
        <w:t xml:space="preserve"> </w:t>
      </w:r>
      <w:r w:rsidRPr="005B3132">
        <w:rPr>
          <w:rFonts w:cstheme="minorHAnsi"/>
        </w:rPr>
        <w:t>A quick mental calculation on the board will impress the calculator generation!</w:t>
      </w:r>
      <w:r w:rsidR="008433C4">
        <w:rPr>
          <w:rFonts w:cstheme="minorHAnsi"/>
        </w:rPr>
        <w:t xml:space="preserve"> </w:t>
      </w:r>
      <w:r w:rsidRPr="005B3132">
        <w:rPr>
          <w:rFonts w:cstheme="minorHAnsi"/>
        </w:rPr>
        <w:t>Overtly add on the number of your own dice that did not land with a dot on the top face.</w:t>
      </w:r>
    </w:p>
    <w:p w:rsidR="005B3132" w:rsidRPr="005B3132" w:rsidRDefault="005B3132" w:rsidP="005B3132">
      <w:pPr>
        <w:spacing w:after="120"/>
        <w:ind w:left="720"/>
        <w:rPr>
          <w:rFonts w:cstheme="minorHAnsi"/>
        </w:rPr>
      </w:pPr>
      <w:r w:rsidRPr="005B3132">
        <w:rPr>
          <w:rFonts w:cstheme="minorHAnsi"/>
        </w:rPr>
        <w:t>Record the total number remaining each time.</w:t>
      </w:r>
    </w:p>
    <w:p w:rsidR="005B3132" w:rsidRPr="005B3132" w:rsidRDefault="005B3132" w:rsidP="005B3132">
      <w:pPr>
        <w:numPr>
          <w:ilvl w:val="0"/>
          <w:numId w:val="5"/>
        </w:numPr>
        <w:spacing w:before="60" w:after="180" w:line="220" w:lineRule="exact"/>
        <w:rPr>
          <w:rFonts w:cstheme="minorHAnsi"/>
        </w:rPr>
      </w:pPr>
      <w:r w:rsidRPr="005B3132">
        <w:rPr>
          <w:rFonts w:cstheme="minorHAnsi"/>
        </w:rPr>
        <w:t>Repeat the procedure about 10 times or until the number of dice run very low.</w:t>
      </w:r>
    </w:p>
    <w:p w:rsidR="005B3132" w:rsidRPr="005B3132" w:rsidRDefault="005B3132" w:rsidP="005B3132">
      <w:pPr>
        <w:spacing w:before="60" w:after="180" w:line="220" w:lineRule="exact"/>
        <w:ind w:left="284" w:hanging="284"/>
        <w:rPr>
          <w:rFonts w:cstheme="minorHAnsi"/>
        </w:rPr>
      </w:pPr>
      <w:r w:rsidRPr="005B3132">
        <w:rPr>
          <w:rFonts w:cstheme="minorHAnsi"/>
        </w:rPr>
        <w:t>At some stage a student usually notices that the number of dice you are declaring that you have left is going up as well as down.</w:t>
      </w:r>
      <w:r w:rsidR="008433C4">
        <w:rPr>
          <w:rFonts w:cstheme="minorHAnsi"/>
        </w:rPr>
        <w:t xml:space="preserve"> </w:t>
      </w:r>
      <w:r w:rsidRPr="005B3132">
        <w:rPr>
          <w:rFonts w:cstheme="minorHAnsi"/>
        </w:rPr>
        <w:t>Challenge them as to why they think this is happening and someone should realise that you are modelling the random background radiation.</w:t>
      </w:r>
      <w:r w:rsidR="008433C4">
        <w:rPr>
          <w:rFonts w:cstheme="minorHAnsi"/>
        </w:rPr>
        <w:t xml:space="preserve"> </w:t>
      </w:r>
      <w:r w:rsidRPr="005B3132">
        <w:rPr>
          <w:rFonts w:cstheme="minorHAnsi"/>
        </w:rPr>
        <w:t>If you record your values as you go then you can use them to calculate the average background count to subtract from the total count each time.</w:t>
      </w:r>
      <w:r w:rsidR="008433C4">
        <w:rPr>
          <w:rFonts w:cstheme="minorHAnsi"/>
        </w:rPr>
        <w:t xml:space="preserve"> </w:t>
      </w:r>
    </w:p>
    <w:p w:rsidR="005B3132" w:rsidRPr="005B3132" w:rsidRDefault="005B3132" w:rsidP="005B3132">
      <w:pPr>
        <w:spacing w:before="60" w:after="180" w:line="220" w:lineRule="exact"/>
        <w:ind w:left="284"/>
        <w:rPr>
          <w:rFonts w:cstheme="minorHAnsi"/>
        </w:rPr>
      </w:pPr>
      <w:r w:rsidRPr="005B3132">
        <w:rPr>
          <w:rFonts w:cstheme="minorHAnsi"/>
        </w:rPr>
        <w:t xml:space="preserve">You may realise that the background count cannot really be represented by the number of </w:t>
      </w:r>
      <w:proofErr w:type="spellStart"/>
      <w:r w:rsidRPr="005B3132">
        <w:rPr>
          <w:rFonts w:cstheme="minorHAnsi"/>
        </w:rPr>
        <w:t>undecayed</w:t>
      </w:r>
      <w:proofErr w:type="spellEnd"/>
      <w:r w:rsidRPr="005B3132">
        <w:rPr>
          <w:rFonts w:cstheme="minorHAnsi"/>
        </w:rPr>
        <w:t xml:space="preserve"> dice</w:t>
      </w:r>
      <w:r w:rsidR="00163072">
        <w:rPr>
          <w:rFonts w:cstheme="minorHAnsi"/>
        </w:rPr>
        <w:t>,</w:t>
      </w:r>
      <w:r w:rsidRPr="005B3132">
        <w:rPr>
          <w:rFonts w:cstheme="minorHAnsi"/>
        </w:rPr>
        <w:t xml:space="preserve"> as it is largely made up of ionising radiation that does not originate in the room.</w:t>
      </w:r>
      <w:r w:rsidR="008433C4">
        <w:rPr>
          <w:rFonts w:cstheme="minorHAnsi"/>
        </w:rPr>
        <w:t xml:space="preserve"> </w:t>
      </w:r>
      <w:r w:rsidRPr="005B3132">
        <w:rPr>
          <w:rFonts w:cstheme="minorHAnsi"/>
        </w:rPr>
        <w:t>Only the brightest students will notice this and these will usually understand the simplification that has been made to illustrate the learning ideas.</w:t>
      </w:r>
    </w:p>
    <w:p w:rsidR="005B3132" w:rsidRPr="005B3132" w:rsidRDefault="005B3132" w:rsidP="005B3132">
      <w:pPr>
        <w:numPr>
          <w:ilvl w:val="0"/>
          <w:numId w:val="6"/>
        </w:numPr>
        <w:spacing w:before="60" w:after="180" w:line="220" w:lineRule="exact"/>
        <w:rPr>
          <w:rFonts w:cstheme="minorHAnsi"/>
        </w:rPr>
      </w:pPr>
      <w:r w:rsidRPr="005B3132">
        <w:rPr>
          <w:rFonts w:cstheme="minorHAnsi"/>
        </w:rPr>
        <w:t>Students should plot the results and use them to calculate the half-life of the dice (about 3 throws) in the usual way.</w:t>
      </w:r>
      <w:r w:rsidR="008433C4">
        <w:rPr>
          <w:rFonts w:cstheme="minorHAnsi"/>
        </w:rPr>
        <w:t xml:space="preserve"> </w:t>
      </w:r>
    </w:p>
    <w:p w:rsidR="005B3132" w:rsidRDefault="005B3132" w:rsidP="005B3132">
      <w:pPr>
        <w:spacing w:before="60" w:after="60" w:line="220" w:lineRule="exact"/>
        <w:rPr>
          <w:rFonts w:cstheme="minorHAnsi"/>
        </w:rPr>
      </w:pPr>
      <w:r w:rsidRPr="005B3132">
        <w:rPr>
          <w:rFonts w:cstheme="minorHAnsi"/>
        </w:rPr>
        <w:t>Students could also be given results that were obtained from dice that had different numbers of faces with dots on, and/or dice with different numbers of faces.</w:t>
      </w:r>
    </w:p>
    <w:p w:rsidR="00F86F84" w:rsidRDefault="00F86F84" w:rsidP="00A40883">
      <w:pPr>
        <w:spacing w:after="240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F86F84" w:rsidRPr="00201AC2" w:rsidRDefault="00F86F84" w:rsidP="00F86F84">
      <w:pPr>
        <w:spacing w:after="240"/>
        <w:rPr>
          <w:szCs w:val="18"/>
        </w:rPr>
        <w:sectPr w:rsidR="00F86F84" w:rsidRPr="00201AC2" w:rsidSect="00642ECD">
          <w:headerReference w:type="default" r:id="rId7"/>
          <w:footerReference w:type="default" r:id="rId8"/>
          <w:pgSz w:w="11906" w:h="16838" w:code="9"/>
          <w:pgMar w:top="1440" w:right="1440" w:bottom="1440" w:left="1440" w:header="709" w:footer="567" w:gutter="0"/>
          <w:cols w:space="708"/>
          <w:docGrid w:linePitch="360"/>
        </w:sectPr>
      </w:pPr>
    </w:p>
    <w:p w:rsidR="008820CA" w:rsidRPr="006F3279" w:rsidRDefault="008820CA" w:rsidP="008820CA">
      <w:pPr>
        <w:spacing w:after="240"/>
        <w:rPr>
          <w:i/>
          <w:sz w:val="18"/>
          <w:szCs w:val="18"/>
        </w:rPr>
      </w:pPr>
      <w:r w:rsidRPr="00E90654">
        <w:rPr>
          <w:i/>
          <w:sz w:val="18"/>
          <w:szCs w:val="18"/>
        </w:rPr>
        <w:lastRenderedPageBreak/>
        <w:t>Physics &gt; Big idea PMA: Matter &gt; Topic PMA5: Nuclear physics &gt; Key concept PMA5.4: Radioactive half-life</w:t>
      </w:r>
    </w:p>
    <w:tbl>
      <w:tblPr>
        <w:tblStyle w:val="TableGrid"/>
        <w:tblW w:w="12021" w:type="dxa"/>
        <w:tblInd w:w="-14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021"/>
      </w:tblGrid>
      <w:tr w:rsidR="006F3279" w:rsidTr="002454AC">
        <w:tc>
          <w:tcPr>
            <w:tcW w:w="12021" w:type="dxa"/>
            <w:shd w:val="clear" w:color="auto" w:fill="B2A1C7" w:themeFill="accent4" w:themeFillTint="99"/>
          </w:tcPr>
          <w:p w:rsidR="006F3279" w:rsidRPr="00CA4B46" w:rsidRDefault="00B00348" w:rsidP="00B00348">
            <w:pPr>
              <w:ind w:left="1304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 xml:space="preserve">Response </w:t>
            </w:r>
            <w:r w:rsidR="00755E81">
              <w:rPr>
                <w:b/>
                <w:sz w:val="40"/>
                <w:szCs w:val="40"/>
              </w:rPr>
              <w:t>activity</w:t>
            </w:r>
          </w:p>
        </w:tc>
      </w:tr>
      <w:tr w:rsidR="006F3279" w:rsidTr="002454AC">
        <w:tc>
          <w:tcPr>
            <w:tcW w:w="12021" w:type="dxa"/>
            <w:shd w:val="clear" w:color="auto" w:fill="CCC0D9" w:themeFill="accent4" w:themeFillTint="66"/>
          </w:tcPr>
          <w:p w:rsidR="006F3279" w:rsidRPr="00CA4B46" w:rsidRDefault="008820CA" w:rsidP="006F3279">
            <w:pPr>
              <w:spacing w:after="60"/>
              <w:ind w:left="1304"/>
              <w:rPr>
                <w:b/>
                <w:sz w:val="40"/>
                <w:szCs w:val="40"/>
              </w:rPr>
            </w:pPr>
            <w:r w:rsidRPr="008820CA">
              <w:rPr>
                <w:b/>
                <w:sz w:val="40"/>
                <w:szCs w:val="40"/>
              </w:rPr>
              <w:t>Half-life of clay dice</w:t>
            </w:r>
          </w:p>
        </w:tc>
      </w:tr>
    </w:tbl>
    <w:p w:rsidR="006F3279" w:rsidRDefault="006F3279" w:rsidP="00E172C6">
      <w:pPr>
        <w:spacing w:after="180"/>
        <w:rPr>
          <w:b/>
        </w:rPr>
      </w:pPr>
    </w:p>
    <w:p w:rsidR="001D0511" w:rsidRPr="001D0511" w:rsidRDefault="001D0511" w:rsidP="00E172C6">
      <w:pPr>
        <w:spacing w:after="180"/>
        <w:rPr>
          <w:b/>
          <w:color w:val="5F497A" w:themeColor="accent4" w:themeShade="BF"/>
          <w:sz w:val="24"/>
          <w:szCs w:val="24"/>
        </w:rPr>
      </w:pPr>
      <w:r w:rsidRPr="001D0511">
        <w:rPr>
          <w:b/>
          <w:color w:val="5F497A" w:themeColor="accent4" w:themeShade="BF"/>
          <w:sz w:val="24"/>
          <w:szCs w:val="24"/>
        </w:rPr>
        <w:t>Overview</w:t>
      </w:r>
    </w:p>
    <w:tbl>
      <w:tblPr>
        <w:tblStyle w:val="TableGrid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196"/>
        <w:gridCol w:w="6820"/>
      </w:tblGrid>
      <w:tr w:rsidR="008820CA" w:rsidTr="003F16F9">
        <w:trPr>
          <w:trHeight w:val="340"/>
        </w:trPr>
        <w:tc>
          <w:tcPr>
            <w:tcW w:w="2196" w:type="dxa"/>
          </w:tcPr>
          <w:p w:rsidR="008820CA" w:rsidRDefault="008820CA" w:rsidP="008820CA">
            <w:pPr>
              <w:spacing w:before="60" w:after="60"/>
            </w:pPr>
            <w:r>
              <w:t>Learning focus:</w:t>
            </w:r>
          </w:p>
        </w:tc>
        <w:tc>
          <w:tcPr>
            <w:tcW w:w="6820" w:type="dxa"/>
          </w:tcPr>
          <w:p w:rsidR="008820CA" w:rsidRDefault="008820CA" w:rsidP="008820CA">
            <w:pPr>
              <w:spacing w:before="60" w:after="60"/>
            </w:pPr>
            <w:r w:rsidRPr="00E90654">
              <w:t>Radioactive half-life is the predicted time it takes for half of a large sample of radioactive nuclei to decay randomly.</w:t>
            </w:r>
          </w:p>
        </w:tc>
      </w:tr>
      <w:tr w:rsidR="008820CA" w:rsidTr="003F16F9">
        <w:trPr>
          <w:trHeight w:val="340"/>
        </w:trPr>
        <w:tc>
          <w:tcPr>
            <w:tcW w:w="2196" w:type="dxa"/>
          </w:tcPr>
          <w:p w:rsidR="008820CA" w:rsidRDefault="008820CA" w:rsidP="008820CA">
            <w:pPr>
              <w:spacing w:before="60" w:after="60"/>
            </w:pPr>
            <w:r>
              <w:t>Observable learning outcome:</w:t>
            </w:r>
          </w:p>
        </w:tc>
        <w:tc>
          <w:tcPr>
            <w:tcW w:w="6820" w:type="dxa"/>
          </w:tcPr>
          <w:p w:rsidR="008820CA" w:rsidRPr="00A50C9C" w:rsidRDefault="008820CA" w:rsidP="008820CA">
            <w:pPr>
              <w:spacing w:before="60" w:after="60"/>
              <w:rPr>
                <w:b/>
              </w:rPr>
            </w:pPr>
            <w:r w:rsidRPr="007235D5">
              <w:t>Describe the decay of a radioactive material.</w:t>
            </w:r>
          </w:p>
        </w:tc>
      </w:tr>
      <w:tr w:rsidR="00755E81" w:rsidTr="003F16F9">
        <w:trPr>
          <w:trHeight w:val="340"/>
        </w:trPr>
        <w:tc>
          <w:tcPr>
            <w:tcW w:w="2196" w:type="dxa"/>
          </w:tcPr>
          <w:p w:rsidR="00755E81" w:rsidRDefault="00252175" w:rsidP="00755E81">
            <w:pPr>
              <w:spacing w:before="60" w:after="60"/>
            </w:pPr>
            <w:r>
              <w:t>Activity</w:t>
            </w:r>
            <w:r w:rsidR="00755E81">
              <w:t xml:space="preserve"> type:</w:t>
            </w:r>
          </w:p>
        </w:tc>
        <w:tc>
          <w:tcPr>
            <w:tcW w:w="6820" w:type="dxa"/>
          </w:tcPr>
          <w:p w:rsidR="00755E81" w:rsidRDefault="006C2075" w:rsidP="00755E81">
            <w:pPr>
              <w:spacing w:before="60" w:after="60"/>
            </w:pPr>
            <w:r>
              <w:t xml:space="preserve">Clarifying - </w:t>
            </w:r>
            <w:r w:rsidR="008820CA">
              <w:t>modelling</w:t>
            </w:r>
          </w:p>
        </w:tc>
      </w:tr>
      <w:tr w:rsidR="00755E81" w:rsidTr="003F16F9">
        <w:trPr>
          <w:trHeight w:val="340"/>
        </w:trPr>
        <w:tc>
          <w:tcPr>
            <w:tcW w:w="2196" w:type="dxa"/>
          </w:tcPr>
          <w:p w:rsidR="00755E81" w:rsidRDefault="00755E81" w:rsidP="00755E81">
            <w:pPr>
              <w:spacing w:before="60" w:after="60"/>
            </w:pPr>
            <w:r>
              <w:t>Key words:</w:t>
            </w:r>
          </w:p>
        </w:tc>
        <w:tc>
          <w:tcPr>
            <w:tcW w:w="6820" w:type="dxa"/>
            <w:tcBorders>
              <w:bottom w:val="dotted" w:sz="4" w:space="0" w:color="auto"/>
            </w:tcBorders>
          </w:tcPr>
          <w:p w:rsidR="00755E81" w:rsidRDefault="008820CA" w:rsidP="00755E81">
            <w:pPr>
              <w:spacing w:before="60" w:after="60"/>
            </w:pPr>
            <w:r w:rsidRPr="008820CA">
              <w:t>Half-life, half-life graph, radioactive atom, radioactive isotope</w:t>
            </w:r>
          </w:p>
        </w:tc>
      </w:tr>
    </w:tbl>
    <w:p w:rsidR="00E172C6" w:rsidRDefault="00E172C6" w:rsidP="00E172C6">
      <w:pPr>
        <w:spacing w:after="180"/>
      </w:pPr>
    </w:p>
    <w:p w:rsidR="00755E81" w:rsidRPr="004056D6" w:rsidRDefault="00755E81" w:rsidP="00755E81">
      <w:pPr>
        <w:spacing w:after="180"/>
        <w:rPr>
          <w:rFonts w:cstheme="minorHAnsi"/>
        </w:rPr>
      </w:pPr>
      <w:r w:rsidRPr="004056D6">
        <w:rPr>
          <w:rFonts w:cstheme="minorHAnsi"/>
          <w:color w:val="222222"/>
          <w:shd w:val="clear" w:color="auto" w:fill="FFFFFF"/>
        </w:rPr>
        <w:t>This activity can help develop students’ understanding by addressing the sticking-points revealed by the following diagnostic questio</w:t>
      </w:r>
      <w:r w:rsidR="008820CA">
        <w:rPr>
          <w:rFonts w:cstheme="minorHAnsi"/>
          <w:color w:val="222222"/>
          <w:shd w:val="clear" w:color="auto" w:fill="FFFFFF"/>
        </w:rPr>
        <w:t>ns:</w:t>
      </w:r>
    </w:p>
    <w:p w:rsidR="008820CA" w:rsidRDefault="008820CA" w:rsidP="00B00348">
      <w:pPr>
        <w:pStyle w:val="ListParagraph"/>
        <w:numPr>
          <w:ilvl w:val="0"/>
          <w:numId w:val="1"/>
        </w:numPr>
        <w:spacing w:after="180"/>
      </w:pPr>
      <w:r>
        <w:t>Diagnostic question: Radioactive material</w:t>
      </w:r>
    </w:p>
    <w:p w:rsidR="00B00348" w:rsidRPr="008820CA" w:rsidRDefault="00B00348" w:rsidP="00B00348">
      <w:pPr>
        <w:pStyle w:val="ListParagraph"/>
        <w:numPr>
          <w:ilvl w:val="0"/>
          <w:numId w:val="1"/>
        </w:numPr>
        <w:spacing w:after="180"/>
      </w:pPr>
      <w:r w:rsidRPr="008820CA">
        <w:t xml:space="preserve">Diagnostic </w:t>
      </w:r>
      <w:r w:rsidR="00BA75D4" w:rsidRPr="008820CA">
        <w:t>question</w:t>
      </w:r>
      <w:r w:rsidRPr="008820CA">
        <w:t xml:space="preserve">: </w:t>
      </w:r>
      <w:r w:rsidR="008820CA" w:rsidRPr="008820CA">
        <w:t>Radioactive half-life</w:t>
      </w:r>
    </w:p>
    <w:p w:rsidR="008820CA" w:rsidRPr="008820CA" w:rsidRDefault="008820CA" w:rsidP="00B00348">
      <w:pPr>
        <w:pStyle w:val="ListParagraph"/>
        <w:numPr>
          <w:ilvl w:val="0"/>
          <w:numId w:val="1"/>
        </w:numPr>
        <w:spacing w:after="180"/>
      </w:pPr>
      <w:r w:rsidRPr="008820CA">
        <w:t>Diagnostic question: Radioactive half-life graph</w:t>
      </w:r>
    </w:p>
    <w:p w:rsidR="00C05571" w:rsidRPr="002454AC" w:rsidRDefault="00BB44B4" w:rsidP="00026DEC">
      <w:pPr>
        <w:spacing w:after="180"/>
        <w:rPr>
          <w:b/>
          <w:color w:val="5F497A" w:themeColor="accent4" w:themeShade="BF"/>
          <w:sz w:val="24"/>
        </w:rPr>
      </w:pPr>
      <w:r w:rsidRPr="002454AC">
        <w:rPr>
          <w:b/>
          <w:color w:val="5F497A" w:themeColor="accent4" w:themeShade="BF"/>
          <w:sz w:val="24"/>
        </w:rPr>
        <w:t>What does the research say</w:t>
      </w:r>
      <w:r w:rsidR="00C05571" w:rsidRPr="002454AC">
        <w:rPr>
          <w:b/>
          <w:color w:val="5F497A" w:themeColor="accent4" w:themeShade="BF"/>
          <w:sz w:val="24"/>
        </w:rPr>
        <w:t>?</w:t>
      </w:r>
    </w:p>
    <w:p w:rsidR="008820CA" w:rsidRDefault="008820CA" w:rsidP="008820CA">
      <w:pPr>
        <w:spacing w:after="60"/>
      </w:pPr>
      <w:r>
        <w:t>Misunderstandings that may stem from a thinking that ‘only clearly determined events can lead to predictable outcomes’ are:</w:t>
      </w:r>
    </w:p>
    <w:p w:rsidR="008820CA" w:rsidRDefault="008820CA" w:rsidP="008820CA">
      <w:pPr>
        <w:pStyle w:val="ListParagraph"/>
        <w:numPr>
          <w:ilvl w:val="0"/>
          <w:numId w:val="7"/>
        </w:numPr>
        <w:spacing w:after="180"/>
        <w:ind w:left="567" w:hanging="425"/>
      </w:pPr>
      <w:r>
        <w:t xml:space="preserve">a radioactive material will be safe and no longer radioactive after one half-life </w:t>
      </w:r>
      <w:r>
        <w:fldChar w:fldCharType="begin"/>
      </w:r>
      <w:r>
        <w:instrText xml:space="preserve"> ADDIN EN.CITE &lt;EndNote&gt;&lt;Cite&gt;&lt;Author&gt;Lijnse&lt;/Author&gt;&lt;Year&gt;1990&lt;/Year&gt;&lt;IDText&gt;Pupils&amp;apos; and mass-media ideas about radioactivity&lt;/IDText&gt;&lt;DisplayText&gt;(Lijnse et al., 1990)&lt;/DisplayText&gt;&lt;record&gt;&lt;titles&gt;&lt;title&gt;Pupils&amp;apos; and mass-media ideas about radioactivity&lt;/title&gt;&lt;secondary-title&gt;International Journal of Science Education&lt;/secondary-title&gt;&lt;/titles&gt;&lt;contributors&gt;&lt;authors&gt;&lt;author&gt;Lijnse, P. L&lt;/author&gt;&lt;author&gt;Eijkelhof, H. M. C&lt;/author&gt;&lt;author&gt;Klaassen, C. W. J. M&lt;/author&gt;&lt;author&gt;Scholte, R. L. J&lt;/author&gt;&lt;/authors&gt;&lt;/contributors&gt;&lt;section&gt;67-78&lt;/section&gt;&lt;added-date format="utc"&gt;1641981686&lt;/added-date&gt;&lt;ref-type name="Journal Article"&gt;17&lt;/ref-type&gt;&lt;dates&gt;&lt;year&gt;1990&lt;/year&gt;&lt;/dates&gt;&lt;rec-number&gt;377&lt;/rec-number&gt;&lt;last-updated-date format="utc"&gt;1641981857&lt;/last-updated-date&gt;&lt;volume&gt;12.1&lt;/volume&gt;&lt;/record&gt;&lt;/Cite&gt;&lt;/EndNote&gt;</w:instrText>
      </w:r>
      <w:r>
        <w:fldChar w:fldCharType="separate"/>
      </w:r>
      <w:r>
        <w:rPr>
          <w:noProof/>
        </w:rPr>
        <w:t>(Lijnse et al., 1990)</w:t>
      </w:r>
      <w:r>
        <w:fldChar w:fldCharType="end"/>
      </w:r>
      <w:r>
        <w:t>;</w:t>
      </w:r>
    </w:p>
    <w:p w:rsidR="008820CA" w:rsidRDefault="008820CA" w:rsidP="008820CA">
      <w:pPr>
        <w:pStyle w:val="ListParagraph"/>
        <w:numPr>
          <w:ilvl w:val="0"/>
          <w:numId w:val="7"/>
        </w:numPr>
        <w:spacing w:after="180"/>
        <w:ind w:left="567" w:hanging="425"/>
      </w:pPr>
      <w:r>
        <w:rPr>
          <w:i/>
        </w:rPr>
        <w:t>all</w:t>
      </w:r>
      <w:r>
        <w:t xml:space="preserve"> the radioactive atoms will have decayed after one half-life (or after </w:t>
      </w:r>
      <w:r>
        <w:rPr>
          <w:i/>
        </w:rPr>
        <w:t>two</w:t>
      </w:r>
      <w:r>
        <w:t xml:space="preserve"> half-lives); and </w:t>
      </w:r>
    </w:p>
    <w:p w:rsidR="008820CA" w:rsidRDefault="008820CA" w:rsidP="008820CA">
      <w:pPr>
        <w:pStyle w:val="ListParagraph"/>
        <w:numPr>
          <w:ilvl w:val="0"/>
          <w:numId w:val="7"/>
        </w:numPr>
        <w:spacing w:after="180"/>
        <w:ind w:left="567" w:hanging="425"/>
      </w:pPr>
      <w:r>
        <w:t xml:space="preserve">half-life is a special time before which, or at which, a particular nucleus decays </w:t>
      </w:r>
      <w:r>
        <w:fldChar w:fldCharType="begin"/>
      </w:r>
      <w:r>
        <w:instrText xml:space="preserve"> ADDIN EN.CITE &lt;EndNote&gt;&lt;Cite&gt;&lt;Author&gt;Hull&lt;/Author&gt;&lt;Year&gt;2020&lt;/Year&gt;&lt;IDText&gt;Student Understanding of Emergent Aspects of Radioactivity&lt;/IDText&gt;&lt;DisplayText&gt;(Hull and Hopf, 2020)&lt;/DisplayText&gt;&lt;record&gt;&lt;titles&gt;&lt;title&gt;Student Understanding of Emergent Aspects of Radioactivity&lt;/title&gt;&lt;secondary-title&gt;International Journal of Physics and Chemistry Education&lt;/secondary-title&gt;&lt;/titles&gt;&lt;contributors&gt;&lt;authors&gt;&lt;author&gt;Hull, M. M&lt;/author&gt;&lt;author&gt;Hopf, M&lt;/author&gt;&lt;/authors&gt;&lt;/contributors&gt;&lt;section&gt;19-33&lt;/section&gt;&lt;added-date format="utc"&gt;1643626615&lt;/added-date&gt;&lt;ref-type name="Journal Article"&gt;17&lt;/ref-type&gt;&lt;dates&gt;&lt;year&gt;2020&lt;/year&gt;&lt;/dates&gt;&lt;rec-number&gt;380&lt;/rec-number&gt;&lt;last-updated-date format="utc"&gt;1643626684&lt;/last-updated-date&gt;&lt;volume&gt;12(2)&lt;/volume&gt;&lt;/record&gt;&lt;/Cite&gt;&lt;/EndNote&gt;</w:instrText>
      </w:r>
      <w:r>
        <w:fldChar w:fldCharType="separate"/>
      </w:r>
      <w:r>
        <w:rPr>
          <w:noProof/>
        </w:rPr>
        <w:t>(Hull and Hopf, 2020)</w:t>
      </w:r>
      <w:r>
        <w:fldChar w:fldCharType="end"/>
      </w:r>
      <w:r>
        <w:t>.</w:t>
      </w:r>
    </w:p>
    <w:p w:rsidR="008820CA" w:rsidRDefault="008820CA" w:rsidP="008820CA">
      <w:pPr>
        <w:spacing w:after="180"/>
      </w:pPr>
      <w:r>
        <w:t xml:space="preserve">In each of these examples, students appear to have used the idea that ‘half-life’ is predictable, to develop a misunderstanding that the decay of particular radioactive atoms is also predictable. The last example additionally shows how some students (about a third of a sample of 55 students age 13-14) ascribe the predictive nature of a whole sample to a single radioactive nucleus </w:t>
      </w:r>
      <w:r>
        <w:fldChar w:fldCharType="begin"/>
      </w:r>
      <w:r>
        <w:instrText xml:space="preserve"> ADDIN EN.CITE &lt;EndNote&gt;&lt;Cite&gt;&lt;Author&gt;Hull&lt;/Author&gt;&lt;Year&gt;2020&lt;/Year&gt;&lt;IDText&gt;Student Understanding of Emergent Aspects of Radioactivity&lt;/IDText&gt;&lt;DisplayText&gt;(Hull and Hopf, 2020)&lt;/DisplayText&gt;&lt;record&gt;&lt;titles&gt;&lt;title&gt;Student Understanding of Emergent Aspects of Radioactivity&lt;/title&gt;&lt;secondary-title&gt;International Journal of Physics and Chemistry Education&lt;/secondary-title&gt;&lt;/titles&gt;&lt;contributors&gt;&lt;authors&gt;&lt;author&gt;Hull, M. M&lt;/author&gt;&lt;author&gt;Hopf, M&lt;/author&gt;&lt;/authors&gt;&lt;/contributors&gt;&lt;section&gt;19-33&lt;/section&gt;&lt;added-date format="utc"&gt;1643626615&lt;/added-date&gt;&lt;ref-type name="Journal Article"&gt;17&lt;/ref-type&gt;&lt;dates&gt;&lt;year&gt;2020&lt;/year&gt;&lt;/dates&gt;&lt;rec-number&gt;380&lt;/rec-number&gt;&lt;last-updated-date format="utc"&gt;1643626684&lt;/last-updated-date&gt;&lt;volume&gt;12(2)&lt;/volume&gt;&lt;/record&gt;&lt;/Cite&gt;&lt;/EndNote&gt;</w:instrText>
      </w:r>
      <w:r>
        <w:fldChar w:fldCharType="separate"/>
      </w:r>
      <w:r>
        <w:rPr>
          <w:noProof/>
        </w:rPr>
        <w:t>(Hull and Hopf, 2020)</w:t>
      </w:r>
      <w:r>
        <w:fldChar w:fldCharType="end"/>
      </w:r>
      <w:r>
        <w:t xml:space="preserve">. In fact, an individual radioactive nucleus does not have a half-life and its decay is random. Half-life is instead, a </w:t>
      </w:r>
      <w:r>
        <w:rPr>
          <w:i/>
        </w:rPr>
        <w:t>good predictor</w:t>
      </w:r>
      <w:r>
        <w:t xml:space="preserve"> of the time it takes for half of a sample of </w:t>
      </w:r>
      <w:r>
        <w:rPr>
          <w:i/>
        </w:rPr>
        <w:t>very many</w:t>
      </w:r>
      <w:r>
        <w:t xml:space="preserve"> radioactive nuclei to decay. </w:t>
      </w:r>
    </w:p>
    <w:p w:rsidR="008820CA" w:rsidRDefault="008820CA" w:rsidP="008820CA">
      <w:pPr>
        <w:spacing w:after="180"/>
      </w:pPr>
      <w:r>
        <w:t>Another misunderstanding students have is that atoms disappear during radioactive decay</w:t>
      </w:r>
      <w:r w:rsidR="009529E0">
        <w:t xml:space="preserve"> </w:t>
      </w:r>
      <w:r w:rsidR="009529E0">
        <w:fldChar w:fldCharType="begin"/>
      </w:r>
      <w:r w:rsidR="009529E0">
        <w:instrText xml:space="preserve"> ADDIN EN.CITE &lt;EndNote&gt;&lt;Cite&gt;&lt;Author&gt;Prather&lt;/Author&gt;&lt;Year&gt;2005&lt;/Year&gt;&lt;IDText&gt;Students&amp;apos; beliefs about the role of atoms in radioactive decay and half-life&lt;/IDText&gt;&lt;DisplayText&gt;(Prather, 2005)&lt;/DisplayText&gt;&lt;record&gt;&lt;titles&gt;&lt;title&gt;Students&amp;apos; beliefs about the role of atoms in radioactive decay and half-life&lt;/title&gt;&lt;secondary-title&gt;Journal of Geoscience Education&lt;/secondary-title&gt;&lt;/titles&gt;&lt;pages&gt;345-354&lt;/pages&gt;&lt;contributors&gt;&lt;authors&gt;&lt;author&gt;Prather, Edward&lt;/author&gt;&lt;/authors&gt;&lt;/contributors&gt;&lt;added-date format="utc"&gt;1631520503&lt;/added-date&gt;&lt;ref-type name="Journal Article"&gt;17&lt;/ref-type&gt;&lt;dates&gt;&lt;year&gt;2005&lt;/year&gt;&lt;/dates&gt;&lt;rec-number&gt;368&lt;/rec-number&gt;&lt;last-updated-date format="utc"&gt;1631520571&lt;/last-updated-date&gt;&lt;volume&gt;53(4)&lt;/volume&gt;&lt;/record&gt;&lt;/Cite&gt;&lt;/EndNote&gt;</w:instrText>
      </w:r>
      <w:r w:rsidR="009529E0">
        <w:fldChar w:fldCharType="separate"/>
      </w:r>
      <w:r w:rsidR="009529E0">
        <w:rPr>
          <w:noProof/>
        </w:rPr>
        <w:t>(Prather, 2005)</w:t>
      </w:r>
      <w:r w:rsidR="009529E0">
        <w:fldChar w:fldCharType="end"/>
      </w:r>
      <w:r>
        <w:t xml:space="preserve">. Prather </w:t>
      </w:r>
      <w:r>
        <w:fldChar w:fldCharType="begin"/>
      </w:r>
      <w:r>
        <w:instrText xml:space="preserve"> ADDIN EN.CITE &lt;EndNote&gt;&lt;Cite ExcludeAuth="1"&gt;&lt;Author&gt;Prather&lt;/Author&gt;&lt;Year&gt;2005&lt;/Year&gt;&lt;IDText&gt;Students&amp;apos; beliefs about the role of atoms in radioactive decay and half-life&lt;/IDText&gt;&lt;DisplayText&gt;(2005)&lt;/DisplayText&gt;&lt;record&gt;&lt;titles&gt;&lt;title&gt;Students&amp;apos; beliefs about the role of atoms in radioactive decay and half-life&lt;/title&gt;&lt;secondary-title&gt;Journal of Geoscience Education&lt;/secondary-title&gt;&lt;/titles&gt;&lt;pages&gt;345-354&lt;/pages&gt;&lt;contributors&gt;&lt;authors&gt;&lt;author&gt;Prather, Edward&lt;/author&gt;&lt;/authors&gt;&lt;/contributors&gt;&lt;added-date format="utc"&gt;1631520503&lt;/added-date&gt;&lt;ref-type name="Journal Article"&gt;17&lt;/ref-type&gt;&lt;dates&gt;&lt;year&gt;2005&lt;/year&gt;&lt;/dates&gt;&lt;rec-number&gt;368&lt;/rec-number&gt;&lt;last-updated-date format="utc"&gt;1631520571&lt;/last-updated-date&gt;&lt;volume&gt;53(4)&lt;/volume&gt;&lt;/record&gt;&lt;/Cite&gt;&lt;/EndNote&gt;</w:instrText>
      </w:r>
      <w:r>
        <w:fldChar w:fldCharType="separate"/>
      </w:r>
      <w:r>
        <w:rPr>
          <w:noProof/>
        </w:rPr>
        <w:t>(2005)</w:t>
      </w:r>
      <w:r>
        <w:fldChar w:fldCharType="end"/>
      </w:r>
      <w:r>
        <w:t xml:space="preserve"> found that the majority (59%) of (n=258) undergraduate students believed that the mass or volume of a radioactive substance would reduce by half during one half-life. Expressed differently, this means that a radioactive object disappears as it decays. This misunderstanding is likely to stem from the fact that is not clear to a lot of students that radioactive materials contain both stable and unstable atoms.</w:t>
      </w:r>
    </w:p>
    <w:p w:rsidR="008820CA" w:rsidRDefault="008820CA" w:rsidP="008820CA">
      <w:pPr>
        <w:spacing w:after="180"/>
      </w:pPr>
    </w:p>
    <w:p w:rsidR="007A748B" w:rsidRPr="002454AC" w:rsidRDefault="007A748B" w:rsidP="00026DEC">
      <w:pPr>
        <w:spacing w:after="180"/>
        <w:rPr>
          <w:b/>
          <w:color w:val="5F497A" w:themeColor="accent4" w:themeShade="BF"/>
          <w:sz w:val="24"/>
        </w:rPr>
      </w:pPr>
      <w:r w:rsidRPr="002454AC">
        <w:rPr>
          <w:b/>
          <w:color w:val="5F497A" w:themeColor="accent4" w:themeShade="BF"/>
          <w:sz w:val="24"/>
        </w:rPr>
        <w:lastRenderedPageBreak/>
        <w:t xml:space="preserve">Ways to use this </w:t>
      </w:r>
      <w:r w:rsidR="00707823">
        <w:rPr>
          <w:b/>
          <w:color w:val="5F497A" w:themeColor="accent4" w:themeShade="BF"/>
          <w:sz w:val="24"/>
        </w:rPr>
        <w:t>activity</w:t>
      </w:r>
    </w:p>
    <w:p w:rsidR="00881314" w:rsidRPr="00881314" w:rsidRDefault="00881314" w:rsidP="006C2075">
      <w:pPr>
        <w:spacing w:after="180"/>
        <w:rPr>
          <w:b/>
          <w:i/>
        </w:rPr>
      </w:pPr>
      <w:r w:rsidRPr="00881314">
        <w:rPr>
          <w:b/>
          <w:i/>
        </w:rPr>
        <w:t>There are no PowerPoint slides for this activity.</w:t>
      </w:r>
    </w:p>
    <w:p w:rsidR="006C2075" w:rsidRDefault="006C2075" w:rsidP="006C2075">
      <w:pPr>
        <w:spacing w:after="180"/>
      </w:pPr>
      <w:r w:rsidRPr="00DD2CB9">
        <w:t xml:space="preserve">This </w:t>
      </w:r>
      <w:r>
        <w:t xml:space="preserve">demonstration gives you the opportunity to re-teach a challenging concept, and show your students how it builds up from simpler ideas, using a structured teacher-led discussion. </w:t>
      </w:r>
    </w:p>
    <w:p w:rsidR="006C2075" w:rsidRDefault="006C2075" w:rsidP="006C2075">
      <w:pPr>
        <w:spacing w:after="180"/>
      </w:pPr>
      <w:r>
        <w:t>You should use carefully selected questions to check your students’ understanding of each step, before progressing onto the next one.</w:t>
      </w:r>
      <w:r w:rsidR="008433C4">
        <w:t xml:space="preserve"> </w:t>
      </w:r>
    </w:p>
    <w:p w:rsidR="006C2075" w:rsidRDefault="006C2075" w:rsidP="006C2075">
      <w:pPr>
        <w:spacing w:after="180"/>
      </w:pPr>
      <w:r>
        <w:t>The</w:t>
      </w:r>
      <w:r w:rsidRPr="00001055">
        <w:t xml:space="preserve"> </w:t>
      </w:r>
      <w:r>
        <w:t xml:space="preserve">steps you follow in this demonstration </w:t>
      </w:r>
      <w:r w:rsidR="009529E0">
        <w:t>are describe</w:t>
      </w:r>
      <w:r w:rsidR="00163072">
        <w:t>d</w:t>
      </w:r>
      <w:r w:rsidR="009529E0">
        <w:t xml:space="preserve"> on the teacher guidance sheet</w:t>
      </w:r>
      <w:r w:rsidR="00A42A6D">
        <w:t>, and the following points provide guidance on what aspects of students’ understanding or misunderstanding to be aware of</w:t>
      </w:r>
      <w:r w:rsidR="009529E0">
        <w:t>.</w:t>
      </w:r>
    </w:p>
    <w:p w:rsidR="006C2075" w:rsidRPr="00A42A6D" w:rsidRDefault="009529E0" w:rsidP="006C2075">
      <w:pPr>
        <w:pStyle w:val="ListParagraph"/>
        <w:numPr>
          <w:ilvl w:val="0"/>
          <w:numId w:val="4"/>
        </w:numPr>
        <w:spacing w:after="180"/>
      </w:pPr>
      <w:r w:rsidRPr="00A42A6D">
        <w:t xml:space="preserve">The clay dice are rolled into balls </w:t>
      </w:r>
      <w:r w:rsidR="00A42A6D" w:rsidRPr="00A42A6D">
        <w:t>rather than discarded, in order to illustrate that radioactive atoms do not disappear, they change into different types of (often stable) atoms.</w:t>
      </w:r>
    </w:p>
    <w:p w:rsidR="006C2075" w:rsidRPr="00A42A6D" w:rsidRDefault="00A42A6D" w:rsidP="006C2075">
      <w:pPr>
        <w:pStyle w:val="ListParagraph"/>
        <w:numPr>
          <w:ilvl w:val="0"/>
          <w:numId w:val="4"/>
        </w:numPr>
        <w:spacing w:after="180"/>
      </w:pPr>
      <w:r w:rsidRPr="00A42A6D">
        <w:t>The throw of each di is random.</w:t>
      </w:r>
    </w:p>
    <w:p w:rsidR="00A42A6D" w:rsidRDefault="00A42A6D" w:rsidP="006C2075">
      <w:pPr>
        <w:pStyle w:val="ListParagraph"/>
        <w:numPr>
          <w:ilvl w:val="0"/>
          <w:numId w:val="4"/>
        </w:numPr>
        <w:spacing w:after="180"/>
      </w:pPr>
      <w:r w:rsidRPr="00A42A6D">
        <w:t>All the dice that remain at the end of ten throws have landed without a dot on the top face ten times in a row. This is not a sequence</w:t>
      </w:r>
      <w:r>
        <w:t xml:space="preserve"> that people expect from a series of random events. </w:t>
      </w:r>
    </w:p>
    <w:p w:rsidR="00A42A6D" w:rsidRDefault="00A42A6D" w:rsidP="006C2075">
      <w:pPr>
        <w:pStyle w:val="ListParagraph"/>
        <w:numPr>
          <w:ilvl w:val="0"/>
          <w:numId w:val="4"/>
        </w:numPr>
        <w:spacing w:after="180"/>
      </w:pPr>
      <w:r>
        <w:t>A di is equally likely to land with a dot on top on the tenth throw as it was on the first throw. There is no difference between each throw that is affected by previous sequences of throws.</w:t>
      </w:r>
    </w:p>
    <w:p w:rsidR="00B806AF" w:rsidRDefault="001D0511" w:rsidP="006C2075">
      <w:pPr>
        <w:spacing w:after="180"/>
        <w:rPr>
          <w:b/>
          <w:color w:val="76923C" w:themeColor="accent3" w:themeShade="BF"/>
          <w:sz w:val="24"/>
        </w:rPr>
      </w:pPr>
      <w:r>
        <w:rPr>
          <w:b/>
          <w:color w:val="5F497A" w:themeColor="accent4" w:themeShade="BF"/>
          <w:sz w:val="24"/>
        </w:rPr>
        <w:t>Equipment</w:t>
      </w:r>
      <w:r w:rsidR="00755E81">
        <w:rPr>
          <w:b/>
          <w:color w:val="76923C" w:themeColor="accent3" w:themeShade="BF"/>
          <w:sz w:val="24"/>
        </w:rPr>
        <w:t xml:space="preserve"> </w:t>
      </w:r>
    </w:p>
    <w:p w:rsidR="006C2075" w:rsidRDefault="001D0511" w:rsidP="006C2075">
      <w:pPr>
        <w:spacing w:after="180"/>
      </w:pPr>
      <w:r w:rsidRPr="005B1739">
        <w:t xml:space="preserve">For </w:t>
      </w:r>
      <w:r w:rsidR="00B806AF">
        <w:t>each student</w:t>
      </w:r>
      <w:r w:rsidRPr="005B1739">
        <w:t>:</w:t>
      </w:r>
    </w:p>
    <w:p w:rsidR="001D0511" w:rsidRPr="000947E2" w:rsidRDefault="009529E0" w:rsidP="006C2075">
      <w:pPr>
        <w:spacing w:after="180"/>
      </w:pPr>
      <w:r>
        <w:t>Modelling clay such as Plasticine, sufficient to make ten dice.</w:t>
      </w:r>
    </w:p>
    <w:p w:rsidR="00435DEE" w:rsidRPr="00435DEE" w:rsidRDefault="00435DEE" w:rsidP="00435DEE">
      <w:pPr>
        <w:spacing w:after="180"/>
        <w:rPr>
          <w:b/>
          <w:color w:val="5F497A"/>
          <w:sz w:val="24"/>
        </w:rPr>
      </w:pPr>
      <w:r w:rsidRPr="00435DEE">
        <w:rPr>
          <w:b/>
          <w:color w:val="5F497A"/>
          <w:sz w:val="24"/>
        </w:rPr>
        <w:t>Health and safety</w:t>
      </w:r>
    </w:p>
    <w:p w:rsidR="00435DEE" w:rsidRPr="00435DEE" w:rsidRDefault="00435DEE" w:rsidP="00026DEC">
      <w:pPr>
        <w:spacing w:after="180"/>
        <w:rPr>
          <w:b/>
          <w:color w:val="76923C" w:themeColor="accent3" w:themeShade="BF"/>
          <w:sz w:val="24"/>
        </w:rPr>
      </w:pPr>
      <w:r w:rsidRPr="002454AC">
        <w:t xml:space="preserve">Practical work should be carried out in accordance with local health and safety </w:t>
      </w:r>
      <w:r>
        <w:t>requirements</w:t>
      </w:r>
      <w:r w:rsidRPr="002454AC">
        <w:t>, guidance from manufacturers and sup</w:t>
      </w:r>
      <w:r>
        <w:t>p</w:t>
      </w:r>
      <w:r w:rsidRPr="002454AC">
        <w:t>liers, and guidance available from CLEAPSS</w:t>
      </w:r>
      <w:r>
        <w:t>.</w:t>
      </w:r>
    </w:p>
    <w:p w:rsidR="00E172C6" w:rsidRDefault="00BB44B4" w:rsidP="00026DEC">
      <w:pPr>
        <w:spacing w:after="180"/>
        <w:rPr>
          <w:b/>
          <w:color w:val="5F497A" w:themeColor="accent4" w:themeShade="BF"/>
          <w:sz w:val="24"/>
        </w:rPr>
      </w:pPr>
      <w:r w:rsidRPr="002454AC">
        <w:rPr>
          <w:b/>
          <w:color w:val="5F497A" w:themeColor="accent4" w:themeShade="BF"/>
          <w:sz w:val="24"/>
        </w:rPr>
        <w:t>Expected answer</w:t>
      </w:r>
    </w:p>
    <w:p w:rsidR="00881314" w:rsidRDefault="00B806AF" w:rsidP="00881314">
      <w:r w:rsidRPr="009529E0">
        <w:rPr>
          <w:noProof/>
          <w:lang w:eastAsia="en-GB"/>
        </w:rPr>
        <w:drawing>
          <wp:anchor distT="0" distB="0" distL="114300" distR="114300" simplePos="0" relativeHeight="251662336" behindDoc="0" locked="0" layoutInCell="1" allowOverlap="1" wp14:anchorId="3B27092B">
            <wp:simplePos x="0" y="0"/>
            <wp:positionH relativeFrom="column">
              <wp:posOffset>1740535</wp:posOffset>
            </wp:positionH>
            <wp:positionV relativeFrom="paragraph">
              <wp:posOffset>21246</wp:posOffset>
            </wp:positionV>
            <wp:extent cx="3268980" cy="2684780"/>
            <wp:effectExtent l="0" t="0" r="7620" b="0"/>
            <wp:wrapNone/>
            <wp:docPr id="76" name="Picture 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8980" cy="26847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81314">
        <w:t xml:space="preserve">A graph similar to this one: </w:t>
      </w:r>
    </w:p>
    <w:p w:rsidR="00881314" w:rsidRPr="002454AC" w:rsidRDefault="00881314" w:rsidP="00026DEC">
      <w:pPr>
        <w:spacing w:after="180"/>
        <w:rPr>
          <w:b/>
          <w:color w:val="5F497A" w:themeColor="accent4" w:themeShade="BF"/>
          <w:sz w:val="24"/>
        </w:rPr>
      </w:pPr>
    </w:p>
    <w:p w:rsidR="009529E0" w:rsidRDefault="009529E0" w:rsidP="009529E0">
      <w:pPr>
        <w:spacing w:after="180"/>
        <w:jc w:val="center"/>
        <w:rPr>
          <w:b/>
          <w:color w:val="5F497A" w:themeColor="accent4" w:themeShade="BF"/>
          <w:sz w:val="24"/>
        </w:rPr>
      </w:pPr>
    </w:p>
    <w:p w:rsidR="00881314" w:rsidRDefault="00881314">
      <w:pPr>
        <w:spacing w:after="200" w:line="276" w:lineRule="auto"/>
        <w:rPr>
          <w:b/>
          <w:color w:val="5F497A" w:themeColor="accent4" w:themeShade="BF"/>
          <w:sz w:val="24"/>
        </w:rPr>
      </w:pPr>
      <w:r w:rsidRPr="009529E0">
        <w:rPr>
          <w:b/>
          <w:noProof/>
          <w:color w:val="5F497A" w:themeColor="accent4" w:themeShade="BF"/>
          <w:sz w:val="24"/>
          <w:lang w:eastAsia="en-GB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521010</wp:posOffset>
                </wp:positionV>
                <wp:extent cx="1128003" cy="1404620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8003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529E0" w:rsidRDefault="009529E0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41pt;width:88.8pt;height:110.6pt;z-index:251661312;visibility:visible;mso-wrap-style:square;mso-width-percent:0;mso-height-percent:20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" filled="f" stroked="f">
                <v:textbox style="mso-fit-shape-to-text:t">
                  <w:txbxContent>
                    <w:p w:rsidR="009529E0" w:rsidRDefault="009529E0"/>
                  </w:txbxContent>
                </v:textbox>
                <w10:wrap anchorx="margin"/>
              </v:shape>
            </w:pict>
          </mc:Fallback>
        </mc:AlternateContent>
      </w:r>
      <w:r>
        <w:rPr>
          <w:b/>
          <w:color w:val="5F497A" w:themeColor="accent4" w:themeShade="BF"/>
          <w:sz w:val="24"/>
        </w:rPr>
        <w:br w:type="page"/>
      </w:r>
      <w:bookmarkStart w:id="1" w:name="_GoBack"/>
      <w:bookmarkEnd w:id="1"/>
    </w:p>
    <w:p w:rsidR="003117F6" w:rsidRPr="002454AC" w:rsidRDefault="00CC78A5" w:rsidP="00026DEC">
      <w:pPr>
        <w:spacing w:after="180"/>
        <w:rPr>
          <w:b/>
          <w:color w:val="5F497A" w:themeColor="accent4" w:themeShade="BF"/>
          <w:sz w:val="24"/>
        </w:rPr>
      </w:pPr>
      <w:r w:rsidRPr="002454AC">
        <w:rPr>
          <w:b/>
          <w:color w:val="5F497A" w:themeColor="accent4" w:themeShade="BF"/>
          <w:sz w:val="24"/>
        </w:rPr>
        <w:t>Acknowledgments</w:t>
      </w:r>
    </w:p>
    <w:p w:rsidR="00D278E8" w:rsidRDefault="00D278E8" w:rsidP="00E172C6">
      <w:pPr>
        <w:spacing w:after="180"/>
      </w:pPr>
      <w:r>
        <w:t xml:space="preserve">Developed </w:t>
      </w:r>
      <w:r w:rsidR="0015356E">
        <w:t xml:space="preserve">by </w:t>
      </w:r>
      <w:r w:rsidR="00356308">
        <w:t>Peter Fairhurst</w:t>
      </w:r>
      <w:r w:rsidR="0015356E">
        <w:t xml:space="preserve"> (</w:t>
      </w:r>
      <w:r w:rsidR="0015356E" w:rsidRPr="00FA1F0E">
        <w:t>UYSEG</w:t>
      </w:r>
      <w:r w:rsidR="009529E0">
        <w:t>).</w:t>
      </w:r>
    </w:p>
    <w:p w:rsidR="00CC78A5" w:rsidRDefault="00D278E8" w:rsidP="00E172C6">
      <w:pPr>
        <w:spacing w:after="180"/>
      </w:pPr>
      <w:r w:rsidRPr="0045323E">
        <w:t xml:space="preserve">Image: </w:t>
      </w:r>
      <w:r w:rsidR="00881314">
        <w:t>Peter Fairhurst (</w:t>
      </w:r>
      <w:r w:rsidR="00881314" w:rsidRPr="00FA1F0E">
        <w:t>UYSEG</w:t>
      </w:r>
      <w:r w:rsidR="00881314">
        <w:t>).</w:t>
      </w:r>
    </w:p>
    <w:p w:rsidR="003117F6" w:rsidRDefault="003117F6" w:rsidP="00026DEC">
      <w:pPr>
        <w:spacing w:after="180"/>
        <w:rPr>
          <w:b/>
          <w:color w:val="5F497A" w:themeColor="accent4" w:themeShade="BF"/>
          <w:sz w:val="24"/>
        </w:rPr>
      </w:pPr>
      <w:r w:rsidRPr="002454AC">
        <w:rPr>
          <w:b/>
          <w:color w:val="5F497A" w:themeColor="accent4" w:themeShade="BF"/>
          <w:sz w:val="24"/>
        </w:rPr>
        <w:t>References</w:t>
      </w:r>
    </w:p>
    <w:p w:rsidR="009529E0" w:rsidRPr="009529E0" w:rsidRDefault="009529E0" w:rsidP="009529E0">
      <w:pPr>
        <w:pStyle w:val="EndNoteBibliography"/>
        <w:spacing w:after="120"/>
        <w:ind w:left="425" w:hanging="425"/>
      </w:pPr>
      <w:r>
        <w:fldChar w:fldCharType="begin"/>
      </w:r>
      <w:r>
        <w:instrText xml:space="preserve"> ADDIN EN.REFLIST </w:instrText>
      </w:r>
      <w:r>
        <w:fldChar w:fldCharType="separate"/>
      </w:r>
      <w:r w:rsidRPr="009529E0">
        <w:t xml:space="preserve">Hull, M. M. and Hopf, M. (2020). Student Understanding of Emergent Aspects of Radioactivity. </w:t>
      </w:r>
      <w:r w:rsidRPr="009529E0">
        <w:rPr>
          <w:i/>
        </w:rPr>
        <w:t>International Journal of Physics and Chemistry Education,</w:t>
      </w:r>
      <w:r w:rsidRPr="009529E0">
        <w:t xml:space="preserve"> 12(2).</w:t>
      </w:r>
    </w:p>
    <w:p w:rsidR="009529E0" w:rsidRPr="009529E0" w:rsidRDefault="009529E0" w:rsidP="009529E0">
      <w:pPr>
        <w:pStyle w:val="EndNoteBibliography"/>
        <w:spacing w:after="120"/>
        <w:ind w:left="425" w:hanging="425"/>
      </w:pPr>
      <w:r w:rsidRPr="009529E0">
        <w:t xml:space="preserve">Lijnse, P. L., et al. (1990). Pupils' and mass-media ideas about radioactivity. </w:t>
      </w:r>
      <w:r w:rsidRPr="009529E0">
        <w:rPr>
          <w:i/>
        </w:rPr>
        <w:t>International Journal of Science Education,</w:t>
      </w:r>
      <w:r w:rsidRPr="009529E0">
        <w:t xml:space="preserve"> 12.1.</w:t>
      </w:r>
    </w:p>
    <w:p w:rsidR="009529E0" w:rsidRPr="009529E0" w:rsidRDefault="009529E0" w:rsidP="009529E0">
      <w:pPr>
        <w:pStyle w:val="EndNoteBibliography"/>
        <w:spacing w:after="120"/>
        <w:ind w:left="425" w:hanging="425"/>
      </w:pPr>
      <w:r w:rsidRPr="009529E0">
        <w:t xml:space="preserve">Prather, E. (2005). Students' beliefs about the role of atoms in radioactive decay and half-life. </w:t>
      </w:r>
      <w:r w:rsidRPr="009529E0">
        <w:rPr>
          <w:i/>
        </w:rPr>
        <w:t>Journal of Geoscience Education,</w:t>
      </w:r>
      <w:r w:rsidRPr="009529E0">
        <w:t xml:space="preserve"> 53(4)</w:t>
      </w:r>
      <w:r w:rsidRPr="009529E0">
        <w:rPr>
          <w:b/>
        </w:rPr>
        <w:t>,</w:t>
      </w:r>
      <w:r w:rsidRPr="009529E0">
        <w:t xml:space="preserve"> 345-354.</w:t>
      </w:r>
    </w:p>
    <w:p w:rsidR="007E4771" w:rsidRPr="007E4771" w:rsidRDefault="009529E0" w:rsidP="009529E0">
      <w:pPr>
        <w:spacing w:after="120"/>
        <w:ind w:left="425" w:hanging="425"/>
      </w:pPr>
      <w:r>
        <w:fldChar w:fldCharType="end"/>
      </w:r>
    </w:p>
    <w:sectPr w:rsidR="007E4771" w:rsidRPr="007E4771" w:rsidSect="00642ECD">
      <w:headerReference w:type="default" r:id="rId10"/>
      <w:pgSz w:w="11906" w:h="16838" w:code="9"/>
      <w:pgMar w:top="1440" w:right="1440" w:bottom="1440" w:left="1440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635A" w:rsidRDefault="0036635A" w:rsidP="000B473B">
      <w:r>
        <w:separator/>
      </w:r>
    </w:p>
  </w:endnote>
  <w:endnote w:type="continuationSeparator" w:id="0">
    <w:p w:rsidR="0036635A" w:rsidRDefault="0036635A" w:rsidP="000B47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6F84" w:rsidRDefault="00F86F84" w:rsidP="00201AC2">
    <w:pPr>
      <w:pStyle w:val="Footer"/>
      <w:tabs>
        <w:tab w:val="clear" w:pos="4513"/>
        <w:tab w:val="clear" w:pos="9026"/>
        <w:tab w:val="right" w:pos="9072"/>
      </w:tabs>
      <w:rPr>
        <w:noProof/>
      </w:rPr>
    </w:pPr>
    <w:r>
      <w:rPr>
        <w:noProof/>
        <w:lang w:eastAsia="en-GB"/>
      </w:rPr>
      <mc:AlternateContent>
        <mc:Choice Requires="wps">
          <w:drawing>
            <wp:anchor distT="4294967295" distB="4294967295" distL="114300" distR="114300" simplePos="0" relativeHeight="251668480" behindDoc="0" locked="0" layoutInCell="1" allowOverlap="1" wp14:anchorId="1DFE1B3F" wp14:editId="3867FEF1">
              <wp:simplePos x="0" y="0"/>
              <wp:positionH relativeFrom="column">
                <wp:posOffset>-914400</wp:posOffset>
              </wp:positionH>
              <wp:positionV relativeFrom="paragraph">
                <wp:posOffset>-56515</wp:posOffset>
              </wp:positionV>
              <wp:extent cx="7570800" cy="0"/>
              <wp:effectExtent l="0" t="0" r="30480" b="19050"/>
              <wp:wrapNone/>
              <wp:docPr id="1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0800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4395F366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" o:spid="_x0000_s1026" type="#_x0000_t32" style="position:absolute;margin-left:-1in;margin-top:-4.45pt;width:596.15pt;height:0;z-index:25166848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" strokeweight="1pt"/>
          </w:pict>
        </mc:Fallback>
      </mc:AlternateContent>
    </w:r>
    <w:r w:rsidR="00031B31">
      <w:rPr>
        <w:sz w:val="16"/>
        <w:szCs w:val="16"/>
      </w:rPr>
      <w:t>Developed by the University of York Science Education Group, the Salters’ Institute and the Institute of Physics.</w:t>
    </w:r>
    <w:r>
      <w:rPr>
        <w:sz w:val="16"/>
        <w:szCs w:val="16"/>
      </w:rPr>
      <w:tab/>
    </w:r>
    <w:r>
      <w:fldChar w:fldCharType="begin"/>
    </w:r>
    <w:r>
      <w:instrText xml:space="preserve"> PAGE  \* Arabic  \* MERGEFORMAT </w:instrText>
    </w:r>
    <w:r>
      <w:fldChar w:fldCharType="separate"/>
    </w:r>
    <w:r w:rsidR="00B806AF">
      <w:rPr>
        <w:noProof/>
      </w:rPr>
      <w:t>4</w:t>
    </w:r>
    <w:r>
      <w:rPr>
        <w:noProof/>
      </w:rPr>
      <w:fldChar w:fldCharType="end"/>
    </w:r>
  </w:p>
  <w:p w:rsidR="00F86F84" w:rsidRDefault="00F86F84" w:rsidP="00201AC2">
    <w:pPr>
      <w:pStyle w:val="Footer"/>
      <w:tabs>
        <w:tab w:val="clear" w:pos="4513"/>
        <w:tab w:val="clear" w:pos="9026"/>
        <w:tab w:val="right" w:pos="9072"/>
      </w:tabs>
      <w:rPr>
        <w:sz w:val="16"/>
        <w:szCs w:val="16"/>
      </w:rPr>
    </w:pPr>
    <w:r>
      <w:rPr>
        <w:sz w:val="16"/>
        <w:szCs w:val="16"/>
      </w:rPr>
      <w:t xml:space="preserve">This document may have been edited. Download the original from </w:t>
    </w:r>
    <w:r w:rsidRPr="00ED4562">
      <w:rPr>
        <w:b/>
        <w:sz w:val="16"/>
        <w:szCs w:val="16"/>
      </w:rPr>
      <w:t>www.BestEvidenceScienceTeaching.org</w:t>
    </w:r>
  </w:p>
  <w:p w:rsidR="00F86F84" w:rsidRPr="00201AC2" w:rsidRDefault="00F86F84" w:rsidP="00201AC2">
    <w:pPr>
      <w:pStyle w:val="Footer"/>
      <w:rPr>
        <w:sz w:val="16"/>
        <w:szCs w:val="16"/>
      </w:rPr>
    </w:pPr>
    <w:r>
      <w:rPr>
        <w:sz w:val="16"/>
        <w:szCs w:val="16"/>
      </w:rPr>
      <w:t xml:space="preserve">© University of York Science Education </w:t>
    </w:r>
    <w:r w:rsidRPr="002B5D71">
      <w:rPr>
        <w:sz w:val="16"/>
        <w:szCs w:val="16"/>
      </w:rPr>
      <w:t>Group. Distributed under a Creative Commons Attribution-NonCommercial (CC BY-NC) license.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635A" w:rsidRDefault="0036635A" w:rsidP="000B473B">
      <w:r>
        <w:separator/>
      </w:r>
    </w:p>
  </w:footnote>
  <w:footnote w:type="continuationSeparator" w:id="0">
    <w:p w:rsidR="0036635A" w:rsidRDefault="0036635A" w:rsidP="000B47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6F84" w:rsidRPr="004E5592" w:rsidRDefault="00F86F84" w:rsidP="005B3132">
    <w:pPr>
      <w:pStyle w:val="Header"/>
      <w:ind w:left="3407" w:firstLine="2830"/>
      <w:rPr>
        <w:b/>
        <w:sz w:val="24"/>
        <w:szCs w:val="24"/>
      </w:rPr>
    </w:pPr>
    <w:r w:rsidRPr="004E5592">
      <w:rPr>
        <w:b/>
        <w:noProof/>
        <w:sz w:val="24"/>
        <w:szCs w:val="24"/>
        <w:lang w:eastAsia="en-GB"/>
      </w:rPr>
      <w:drawing>
        <wp:anchor distT="0" distB="0" distL="114300" distR="114300" simplePos="0" relativeHeight="251666432" behindDoc="0" locked="0" layoutInCell="1" allowOverlap="1" wp14:anchorId="19FC5CF1" wp14:editId="018652D6">
          <wp:simplePos x="0" y="0"/>
          <wp:positionH relativeFrom="column">
            <wp:posOffset>-9525</wp:posOffset>
          </wp:positionH>
          <wp:positionV relativeFrom="paragraph">
            <wp:posOffset>-177165</wp:posOffset>
          </wp:positionV>
          <wp:extent cx="867600" cy="363600"/>
          <wp:effectExtent l="0" t="0" r="0" b="0"/>
          <wp:wrapNone/>
          <wp:docPr id="9" name="Picture 0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EST_mini logo for item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7600" cy="363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noProof/>
        <w:sz w:val="24"/>
        <w:szCs w:val="24"/>
        <w:lang w:eastAsia="en-GB"/>
      </w:rPr>
      <mc:AlternateContent>
        <mc:Choice Requires="wps">
          <w:drawing>
            <wp:anchor distT="4294967295" distB="4294967295" distL="114300" distR="114300" simplePos="0" relativeHeight="251667456" behindDoc="0" locked="0" layoutInCell="1" allowOverlap="1" wp14:anchorId="19248195" wp14:editId="288C008E">
              <wp:simplePos x="0" y="0"/>
              <wp:positionH relativeFrom="column">
                <wp:posOffset>-914400</wp:posOffset>
              </wp:positionH>
              <wp:positionV relativeFrom="paragraph">
                <wp:posOffset>269239</wp:posOffset>
              </wp:positionV>
              <wp:extent cx="7572375" cy="0"/>
              <wp:effectExtent l="0" t="0" r="9525" b="0"/>
              <wp:wrapNone/>
              <wp:docPr id="3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237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219640C6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1in;margin-top:21.2pt;width:596.25pt;height:0;z-index:25166745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" strokeweight="1pt"/>
          </w:pict>
        </mc:Fallback>
      </mc:AlternateContent>
    </w:r>
    <w:r w:rsidR="005B3132">
      <w:rPr>
        <w:b/>
        <w:sz w:val="24"/>
        <w:szCs w:val="24"/>
      </w:rPr>
      <w:t>TEACHER GUIDANCE SHEET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1AC2" w:rsidRPr="004E5592" w:rsidRDefault="00201AC2" w:rsidP="001A40E2">
    <w:pPr>
      <w:pStyle w:val="Header"/>
      <w:ind w:left="3407" w:firstLine="3793"/>
      <w:rPr>
        <w:b/>
        <w:sz w:val="24"/>
        <w:szCs w:val="24"/>
      </w:rPr>
    </w:pPr>
    <w:r w:rsidRPr="004E5592">
      <w:rPr>
        <w:b/>
        <w:noProof/>
        <w:sz w:val="24"/>
        <w:szCs w:val="24"/>
        <w:lang w:eastAsia="en-GB"/>
      </w:rPr>
      <w:drawing>
        <wp:anchor distT="0" distB="0" distL="114300" distR="114300" simplePos="0" relativeHeight="251663360" behindDoc="0" locked="0" layoutInCell="1" allowOverlap="1" wp14:anchorId="2070DBE9" wp14:editId="24B13224">
          <wp:simplePos x="0" y="0"/>
          <wp:positionH relativeFrom="column">
            <wp:posOffset>-9525</wp:posOffset>
          </wp:positionH>
          <wp:positionV relativeFrom="paragraph">
            <wp:posOffset>-177165</wp:posOffset>
          </wp:positionV>
          <wp:extent cx="867600" cy="363600"/>
          <wp:effectExtent l="0" t="0" r="0" b="0"/>
          <wp:wrapNone/>
          <wp:docPr id="5" name="Picture 0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EST_mini logo for item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7600" cy="363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noProof/>
        <w:sz w:val="24"/>
        <w:szCs w:val="24"/>
        <w:lang w:eastAsia="en-GB"/>
      </w:rPr>
      <mc:AlternateContent>
        <mc:Choice Requires="wps">
          <w:drawing>
            <wp:anchor distT="4294967295" distB="4294967295" distL="114300" distR="114300" simplePos="0" relativeHeight="251664384" behindDoc="0" locked="0" layoutInCell="1" allowOverlap="1" wp14:anchorId="3CDD6745" wp14:editId="14CF93E4">
              <wp:simplePos x="0" y="0"/>
              <wp:positionH relativeFrom="column">
                <wp:posOffset>-914400</wp:posOffset>
              </wp:positionH>
              <wp:positionV relativeFrom="paragraph">
                <wp:posOffset>269239</wp:posOffset>
              </wp:positionV>
              <wp:extent cx="7572375" cy="0"/>
              <wp:effectExtent l="0" t="0" r="9525" b="0"/>
              <wp:wrapNone/>
              <wp:docPr id="4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237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20741EE7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1in;margin-top:21.2pt;width:596.25pt;height:0;z-index:2516643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" strokeweight="1pt"/>
          </w:pict>
        </mc:Fallback>
      </mc:AlternateContent>
    </w:r>
    <w:r>
      <w:rPr>
        <w:b/>
        <w:sz w:val="24"/>
        <w:szCs w:val="24"/>
      </w:rPr>
      <w:t>TEACHER NOTES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0022CC"/>
    <w:multiLevelType w:val="hybridMultilevel"/>
    <w:tmpl w:val="845C4B72"/>
    <w:lvl w:ilvl="0" w:tplc="E4D8C69A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4F22638A">
      <w:start w:val="1"/>
      <w:numFmt w:val="lowerLetter"/>
      <w:lvlText w:val="%2"/>
      <w:lvlJc w:val="left"/>
      <w:pPr>
        <w:ind w:left="1440" w:hanging="360"/>
      </w:pPr>
      <w:rPr>
        <w:rFonts w:hint="default"/>
        <w:b/>
      </w:rPr>
    </w:lvl>
    <w:lvl w:ilvl="2" w:tplc="619272B0">
      <w:start w:val="1"/>
      <w:numFmt w:val="lowerRoman"/>
      <w:lvlText w:val="%3"/>
      <w:lvlJc w:val="left"/>
      <w:pPr>
        <w:ind w:left="2160" w:hanging="180"/>
      </w:pPr>
      <w:rPr>
        <w:rFonts w:hint="default"/>
        <w:b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DE06D8"/>
    <w:multiLevelType w:val="hybridMultilevel"/>
    <w:tmpl w:val="80E655F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AE4092"/>
    <w:multiLevelType w:val="hybridMultilevel"/>
    <w:tmpl w:val="A9D4DB62"/>
    <w:lvl w:ilvl="0" w:tplc="2FB220B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EB6024A"/>
    <w:multiLevelType w:val="hybridMultilevel"/>
    <w:tmpl w:val="08309AA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028215E"/>
    <w:multiLevelType w:val="hybridMultilevel"/>
    <w:tmpl w:val="7C8EB9CC"/>
    <w:lvl w:ilvl="0" w:tplc="08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673F1B6F"/>
    <w:multiLevelType w:val="hybridMultilevel"/>
    <w:tmpl w:val="845C4B72"/>
    <w:lvl w:ilvl="0" w:tplc="E4D8C69A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4F22638A">
      <w:start w:val="1"/>
      <w:numFmt w:val="lowerLetter"/>
      <w:lvlText w:val="%2"/>
      <w:lvlJc w:val="left"/>
      <w:pPr>
        <w:ind w:left="1440" w:hanging="360"/>
      </w:pPr>
      <w:rPr>
        <w:rFonts w:hint="default"/>
        <w:b/>
      </w:rPr>
    </w:lvl>
    <w:lvl w:ilvl="2" w:tplc="619272B0">
      <w:start w:val="1"/>
      <w:numFmt w:val="lowerRoman"/>
      <w:lvlText w:val="%3"/>
      <w:lvlJc w:val="left"/>
      <w:pPr>
        <w:ind w:left="2160" w:hanging="180"/>
      </w:pPr>
      <w:rPr>
        <w:rFonts w:hint="default"/>
        <w:b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C66A41"/>
    <w:multiLevelType w:val="hybridMultilevel"/>
    <w:tmpl w:val="0C12886E"/>
    <w:lvl w:ilvl="0" w:tplc="2FB220B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1"/>
  </w:num>
  <w:num w:numId="5">
    <w:abstractNumId w:val="6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1"/>
  <w:proofState w:spelling="clean" w:grammar="clean"/>
  <w:attachedTemplate r:id="rId1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UoY - Harvard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/ENLayout&gt;"/>
    <w:docVar w:name="EN.Libraries" w:val="&lt;Libraries&gt;&lt;/Libraries&gt;"/>
  </w:docVars>
  <w:rsids>
    <w:rsidRoot w:val="0036635A"/>
    <w:rsid w:val="00015578"/>
    <w:rsid w:val="00024731"/>
    <w:rsid w:val="00026DEC"/>
    <w:rsid w:val="00031B31"/>
    <w:rsid w:val="000505CA"/>
    <w:rsid w:val="00072C2E"/>
    <w:rsid w:val="0007651D"/>
    <w:rsid w:val="0009089A"/>
    <w:rsid w:val="000947E2"/>
    <w:rsid w:val="00095E04"/>
    <w:rsid w:val="000B473B"/>
    <w:rsid w:val="000D0E89"/>
    <w:rsid w:val="000E2689"/>
    <w:rsid w:val="00142613"/>
    <w:rsid w:val="00144DA7"/>
    <w:rsid w:val="0015356E"/>
    <w:rsid w:val="00161D3F"/>
    <w:rsid w:val="00163072"/>
    <w:rsid w:val="001915D4"/>
    <w:rsid w:val="00194675"/>
    <w:rsid w:val="001A1FED"/>
    <w:rsid w:val="001A40E2"/>
    <w:rsid w:val="001C4805"/>
    <w:rsid w:val="001D0511"/>
    <w:rsid w:val="00201AC2"/>
    <w:rsid w:val="00214608"/>
    <w:rsid w:val="002178AC"/>
    <w:rsid w:val="0022547C"/>
    <w:rsid w:val="002454AC"/>
    <w:rsid w:val="00252175"/>
    <w:rsid w:val="0025410A"/>
    <w:rsid w:val="0027553E"/>
    <w:rsid w:val="0028012F"/>
    <w:rsid w:val="002828DF"/>
    <w:rsid w:val="00287876"/>
    <w:rsid w:val="00292C53"/>
    <w:rsid w:val="00294E22"/>
    <w:rsid w:val="002A08F2"/>
    <w:rsid w:val="002C22EA"/>
    <w:rsid w:val="002C59BA"/>
    <w:rsid w:val="002F41B2"/>
    <w:rsid w:val="00301AA9"/>
    <w:rsid w:val="003117F6"/>
    <w:rsid w:val="003533B8"/>
    <w:rsid w:val="00356308"/>
    <w:rsid w:val="0036635A"/>
    <w:rsid w:val="00371AAE"/>
    <w:rsid w:val="003752BE"/>
    <w:rsid w:val="003A346A"/>
    <w:rsid w:val="003B2917"/>
    <w:rsid w:val="003B541B"/>
    <w:rsid w:val="003E2B2F"/>
    <w:rsid w:val="003E6046"/>
    <w:rsid w:val="003F16F9"/>
    <w:rsid w:val="00430C1F"/>
    <w:rsid w:val="00435DEE"/>
    <w:rsid w:val="00442595"/>
    <w:rsid w:val="0045323E"/>
    <w:rsid w:val="0048726C"/>
    <w:rsid w:val="004B0EE1"/>
    <w:rsid w:val="004D0D83"/>
    <w:rsid w:val="004E1DF1"/>
    <w:rsid w:val="004E5592"/>
    <w:rsid w:val="0050055B"/>
    <w:rsid w:val="00524710"/>
    <w:rsid w:val="00555342"/>
    <w:rsid w:val="005560E2"/>
    <w:rsid w:val="005A452E"/>
    <w:rsid w:val="005A6EE7"/>
    <w:rsid w:val="005B3132"/>
    <w:rsid w:val="005E07F2"/>
    <w:rsid w:val="005F1A7B"/>
    <w:rsid w:val="006355D8"/>
    <w:rsid w:val="00642ECD"/>
    <w:rsid w:val="006502A0"/>
    <w:rsid w:val="006772F5"/>
    <w:rsid w:val="006A4440"/>
    <w:rsid w:val="006B0615"/>
    <w:rsid w:val="006C2075"/>
    <w:rsid w:val="006D166B"/>
    <w:rsid w:val="006F3279"/>
    <w:rsid w:val="00704AEE"/>
    <w:rsid w:val="00707823"/>
    <w:rsid w:val="00722F9A"/>
    <w:rsid w:val="00754539"/>
    <w:rsid w:val="00755E81"/>
    <w:rsid w:val="00781BC6"/>
    <w:rsid w:val="007A3C86"/>
    <w:rsid w:val="007A683E"/>
    <w:rsid w:val="007A748B"/>
    <w:rsid w:val="007D1D65"/>
    <w:rsid w:val="007E0A9E"/>
    <w:rsid w:val="007E4771"/>
    <w:rsid w:val="007E5309"/>
    <w:rsid w:val="007F24B2"/>
    <w:rsid w:val="00800DE1"/>
    <w:rsid w:val="00813F47"/>
    <w:rsid w:val="008433C4"/>
    <w:rsid w:val="008450D6"/>
    <w:rsid w:val="00856FCA"/>
    <w:rsid w:val="00873B8C"/>
    <w:rsid w:val="00880E3B"/>
    <w:rsid w:val="00881314"/>
    <w:rsid w:val="008820CA"/>
    <w:rsid w:val="008A405F"/>
    <w:rsid w:val="008C7F34"/>
    <w:rsid w:val="008E580C"/>
    <w:rsid w:val="0090047A"/>
    <w:rsid w:val="009158ED"/>
    <w:rsid w:val="00925026"/>
    <w:rsid w:val="00931264"/>
    <w:rsid w:val="00942A4B"/>
    <w:rsid w:val="009529E0"/>
    <w:rsid w:val="00961D59"/>
    <w:rsid w:val="009B2D55"/>
    <w:rsid w:val="009C0343"/>
    <w:rsid w:val="009E0D11"/>
    <w:rsid w:val="00A24A16"/>
    <w:rsid w:val="00A37D14"/>
    <w:rsid w:val="00A40883"/>
    <w:rsid w:val="00A42A6D"/>
    <w:rsid w:val="00A6111E"/>
    <w:rsid w:val="00A6168B"/>
    <w:rsid w:val="00A62028"/>
    <w:rsid w:val="00AA6236"/>
    <w:rsid w:val="00AB6AE7"/>
    <w:rsid w:val="00AD21F5"/>
    <w:rsid w:val="00AE7C83"/>
    <w:rsid w:val="00B00348"/>
    <w:rsid w:val="00B06225"/>
    <w:rsid w:val="00B23B31"/>
    <w:rsid w:val="00B23C7A"/>
    <w:rsid w:val="00B26756"/>
    <w:rsid w:val="00B305F5"/>
    <w:rsid w:val="00B46FF9"/>
    <w:rsid w:val="00B75483"/>
    <w:rsid w:val="00B806AF"/>
    <w:rsid w:val="00BA75D4"/>
    <w:rsid w:val="00BA7952"/>
    <w:rsid w:val="00BB44B4"/>
    <w:rsid w:val="00BF0BBF"/>
    <w:rsid w:val="00BF6C8A"/>
    <w:rsid w:val="00C05571"/>
    <w:rsid w:val="00C1190E"/>
    <w:rsid w:val="00C15645"/>
    <w:rsid w:val="00C246CE"/>
    <w:rsid w:val="00C57FA2"/>
    <w:rsid w:val="00CC2E4D"/>
    <w:rsid w:val="00CC78A5"/>
    <w:rsid w:val="00CC7B16"/>
    <w:rsid w:val="00CE15FE"/>
    <w:rsid w:val="00D02E15"/>
    <w:rsid w:val="00D14F44"/>
    <w:rsid w:val="00D278E8"/>
    <w:rsid w:val="00D421E8"/>
    <w:rsid w:val="00D44604"/>
    <w:rsid w:val="00D479B3"/>
    <w:rsid w:val="00D52283"/>
    <w:rsid w:val="00D524E5"/>
    <w:rsid w:val="00D72FEF"/>
    <w:rsid w:val="00D755FA"/>
    <w:rsid w:val="00DC4A4E"/>
    <w:rsid w:val="00DD1874"/>
    <w:rsid w:val="00DD63BD"/>
    <w:rsid w:val="00DF14E9"/>
    <w:rsid w:val="00E0092B"/>
    <w:rsid w:val="00E172C6"/>
    <w:rsid w:val="00E24309"/>
    <w:rsid w:val="00E53D82"/>
    <w:rsid w:val="00E548AF"/>
    <w:rsid w:val="00E9330A"/>
    <w:rsid w:val="00EE6B97"/>
    <w:rsid w:val="00F12C3B"/>
    <w:rsid w:val="00F26884"/>
    <w:rsid w:val="00F72ECC"/>
    <w:rsid w:val="00F8355F"/>
    <w:rsid w:val="00F86F84"/>
    <w:rsid w:val="00FA1F0E"/>
    <w:rsid w:val="00FA3196"/>
    <w:rsid w:val="00FE29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F9ED9E0"/>
  <w15:docId w15:val="{2BF38FE6-636F-43FE-9E99-C23CFAA61F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C2E4D"/>
    <w:pPr>
      <w:spacing w:after="0" w:line="240" w:lineRule="auto"/>
    </w:pPr>
    <w:rPr>
      <w:rFonts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B473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B473B"/>
    <w:rPr>
      <w:rFonts w:cs="Arial"/>
    </w:rPr>
  </w:style>
  <w:style w:type="paragraph" w:styleId="Footer">
    <w:name w:val="footer"/>
    <w:basedOn w:val="Normal"/>
    <w:link w:val="FooterChar"/>
    <w:uiPriority w:val="99"/>
    <w:unhideWhenUsed/>
    <w:rsid w:val="000B473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B473B"/>
    <w:rPr>
      <w:rFonts w:cs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B473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473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E172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172C6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F86F84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EndNoteBibliographyTitle">
    <w:name w:val="EndNote Bibliography Title"/>
    <w:basedOn w:val="Normal"/>
    <w:link w:val="EndNoteBibliographyTitleChar"/>
    <w:rsid w:val="009529E0"/>
    <w:pPr>
      <w:jc w:val="center"/>
    </w:pPr>
    <w:rPr>
      <w:rFonts w:ascii="Calibri" w:hAnsi="Calibri" w:cs="Calibri"/>
      <w:noProof/>
      <w:lang w:val="en-US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9529E0"/>
    <w:rPr>
      <w:rFonts w:ascii="Calibri" w:hAnsi="Calibri" w:cs="Calibri"/>
      <w:noProof/>
      <w:lang w:val="en-US"/>
    </w:rPr>
  </w:style>
  <w:style w:type="paragraph" w:customStyle="1" w:styleId="EndNoteBibliography">
    <w:name w:val="EndNote Bibliography"/>
    <w:basedOn w:val="Normal"/>
    <w:link w:val="EndNoteBibliographyChar"/>
    <w:rsid w:val="009529E0"/>
    <w:rPr>
      <w:rFonts w:ascii="Calibri" w:hAnsi="Calibri" w:cs="Calibri"/>
      <w:noProof/>
      <w:lang w:val="en-US"/>
    </w:rPr>
  </w:style>
  <w:style w:type="character" w:customStyle="1" w:styleId="EndNoteBibliographyChar">
    <w:name w:val="EndNote Bibliography Char"/>
    <w:basedOn w:val="DefaultParagraphFont"/>
    <w:link w:val="EndNoteBibliography"/>
    <w:rsid w:val="009529E0"/>
    <w:rPr>
      <w:rFonts w:ascii="Calibri" w:hAnsi="Calibri" w:cs="Calibri"/>
      <w:noProof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478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Templates\Physics%20templates\BEST_Template_R_Clarifying%20-%20demonstration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BEST_Template_R_Clarifying - demonstration.dotx</Template>
  <TotalTime>104</TotalTime>
  <Pages>4</Pages>
  <Words>1678</Words>
  <Characters>9565</Characters>
  <Application>Microsoft Office Word</Application>
  <DocSecurity>0</DocSecurity>
  <Lines>79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University of York</Company>
  <LinksUpToDate>false</LinksUpToDate>
  <CharactersWithSpaces>11221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Peter Fairhurst</dc:creator>
  <cp:lastModifiedBy>Peter Fairhurst</cp:lastModifiedBy>
  <cp:revision>9</cp:revision>
  <cp:lastPrinted>2017-02-24T16:20:00Z</cp:lastPrinted>
  <dcterms:created xsi:type="dcterms:W3CDTF">2022-02-03T12:09:00Z</dcterms:created>
  <dcterms:modified xsi:type="dcterms:W3CDTF">2022-02-09T11:21:00Z</dcterms:modified>
</cp:coreProperties>
</file>